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jc w:val="left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  <w:lang w:val="en-US"/>
        </w:rPr>
        <w:t xml:space="preserve">ROZPOČET </w:t>
      </w:r>
      <w:r>
        <w:rPr>
          <w:b/>
          <w:sz w:val="36"/>
          <w:szCs w:val="36"/>
        </w:rPr>
        <w:t>OBCE MNICH 20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PŘÍJMY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1111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176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1112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19 483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1113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118 744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1121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888 257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9 880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1211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1340 Poplatek DO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281 350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1341 Poplatek pes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7 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1361 Správní poplatky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3181 Daň z hazardních 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38 000,-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1511 Daň z nem. věcí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523 803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4112 Výkon státní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8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4116 Ost. neinv. transfery ze st. rozpočtu                                           30 000,-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833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256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296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 968 206</w:t>
      </w:r>
      <w:r>
        <w:rPr>
          <w:b/>
          <w:sz w:val="36"/>
          <w:szCs w:val="36"/>
        </w:rPr>
        <w:t>,-Kč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>
        <w:rPr>
          <w:b/>
          <w:sz w:val="28"/>
          <w:szCs w:val="28"/>
          <w:lang w:val="en-US"/>
        </w:rPr>
        <w:t>29.</w:t>
      </w:r>
      <w:r>
        <w:rPr>
          <w:b/>
          <w:sz w:val="28"/>
          <w:szCs w:val="28"/>
        </w:rPr>
        <w:t xml:space="preserve"> 3. 2021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</w:p>
    <w:bookmarkEnd w:id="0"/>
    <w:p>
      <w:pPr>
        <w:pStyle w:val="style0"/>
        <w:rPr>
          <w:b/>
          <w:sz w:val="28"/>
          <w:szCs w:val="28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 bubliny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136</Words>
  <Pages>1</Pages>
  <Characters>583</Characters>
  <Application>WPS Office</Application>
  <DocSecurity>0</DocSecurity>
  <Paragraphs>28</Paragraphs>
  <ScaleCrop>false</ScaleCrop>
  <Company>ATC</Company>
  <LinksUpToDate>false</LinksUpToDate>
  <CharactersWithSpaces>967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2021-04-15T07:23:14Z</dcterms:created>
  <dc:creator>uzivatel</dc:creator>
  <lastModifiedBy>RMX2155</lastModifiedBy>
  <lastPrinted>2021-04-14T12:54:00Z</lastPrinted>
  <dcterms:modified xsi:type="dcterms:W3CDTF">2021-04-15T07:23:14Z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